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\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

</file>

<file path=word\document.xml><?xml version="1.0" encoding="utf-8"?>
<w:document xmlns:w="http://schemas.openxmlformats.org/wordprocessingml/2006/main">
  <w:body>
    <w:tbl>
      <w:tblPr>
        <w:tblW w:w="10200" w:type="dxa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300"/>
        <w:gridCol w:w="3300"/>
        <w:gridCol w:w="3600"/>
      </w:tblGrid>
      <w:tr>
        <w:tc>
          <w:tcPr>
            <w:tcW w:w="3300" w:type="dxa"/>
            <w:tcMar>
              <w:top w:w="0" w:type="dxa"/>
              <w:left w:w="0" w:type="dxa"/>
              <w:bottom w:w="0" w:type="dxa"/>
              <w:right w:w="180" w:type="dxa"/>
            </w:tcMar>
          </w:tcPr>
          <w:p>
            <w:pPr>
              <w:spacing w:after="40"/>
            </w:pPr>
            <w:r>
              <w:rPr>
                <w:rFonts w:ascii="Arial" w:hAnsi="Arial"/>
                <w:b/>
                <w:color w:val="263B52"/>
                <w:sz w:val="22"/>
              </w:rPr>
              <w:t xml:space="preserve">Shawn Duan</w:t>
            </w:r>
          </w:p>
          <w:p>
            <w:pPr>
              <w:spacing w:after="70"/>
            </w:pPr>
            <w:r>
              <w:rPr>
                <w:rFonts w:ascii="Arial" w:hAnsi="Arial"/>
                <w:b/>
                <w:color w:val="8190A0"/>
                <w:sz w:val="19"/>
              </w:rPr>
              <w:t xml:space="preserve">CONSUMER INDUSTRY ANALYST</w:t>
            </w:r>
          </w:p>
        </w:tc>
        <w:tc>
          <w:tcPr>
            <w:tcW w:w="3300" w:type="dxa"/>
            <w:tcMar>
              <w:top w:w="0" w:type="dxa"/>
              <w:left w:w="0" w:type="dxa"/>
              <w:bottom w:w="0" w:type="dxa"/>
              <w:right w:w="180" w:type="dxa"/>
            </w:tcMar>
          </w:tcPr>
          <w:p>
            <w:pPr>
              <w:spacing w:after="30"/>
            </w:pPr>
            <w:r>
              <w:rPr>
                <w:rFonts w:ascii="Arial" w:hAnsi="Arial"/>
                <w:color w:val="263B52"/>
                <w:sz w:val="18"/>
              </w:rPr>
              <w:t xml:space="preserve">shawnduan.com</w:t>
            </w:r>
          </w:p>
          <w:p>
            <w:pPr>
              <w:spacing w:after="30"/>
            </w:pPr>
            <w:r>
              <w:rPr>
                <w:rFonts w:ascii="Arial" w:hAnsi="Arial"/>
                <w:color w:val="263B52"/>
                <w:sz w:val="18"/>
              </w:rPr>
              <w:t xml:space="preserve">shawn_duan@foxmail.com</w:t>
            </w:r>
          </w:p>
        </w:tc>
        <w:tc>
          <w:tcPr>
            <w:tcW w:w="3600" w:type="dxa"/>
            <w:tcMar>
              <w:top w:w="0" w:type="dxa"/>
              <w:left w:w="0" w:type="dxa"/>
              <w:bottom w:w="0" w:type="dxa"/>
              <w:right w:w="180" w:type="dxa"/>
            </w:tcMar>
          </w:tcPr>
          <w:p>
            <w:pPr>
              <w:spacing w:after="30"/>
            </w:pPr>
            <w:r>
              <w:rPr>
                <w:rFonts w:ascii="Arial" w:hAnsi="Arial"/>
                <w:color w:val="263B52"/>
                <w:sz w:val="18"/>
              </w:rPr>
              <w:t xml:space="preserve">Strategy research, consumer insights, IPO advisory, and systematic market experiments.</w:t>
            </w:r>
          </w:p>
        </w:tc>
      </w:tr>
    </w:tbl>
    <w:p>
      <w:pPr>
        <w:spacing w:after="180"/>
      </w:pPr>
    </w:p>
    <w:tbl>
      <w:tblPr>
        <w:tblW w:w="10200" w:type="dxa"/>
        <w:tblCellMar>
          <w:top w:w="80" w:type="dxa"/>
          <w:left w:w="0" w:type="dxa"/>
          <w:bottom w:w="80" w:type="dxa"/>
          <w:right w:w="160" w:type="dxa"/>
        </w:tblCellMar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1550"/>
        <w:gridCol w:w="2700"/>
        <w:gridCol w:w="5950"/>
      </w:tblGrid>
      <w:tr>
        <w:tc>
          <w:tcPr>
            <w:tcW w:w="1550" w:type="dxa"/>
            <w:tcMar>
              <w:top w:w="0" w:type="dxa"/>
              <w:left w:w="0" w:type="dxa"/>
              <w:bottom w:w="0" w:type="dxa"/>
              <w:right w:w="180" w:type="dxa"/>
            </w:tcMar>
          </w:tcPr>
          <w:p>
            <w:pPr>
              <w:spacing w:after="40"/>
            </w:pPr>
            <w:r>
              <w:rPr>
                <w:rFonts w:ascii="Arial" w:hAnsi="Arial"/>
                <w:b/>
                <w:color w:val="8190A0"/>
                <w:sz w:val="18"/>
              </w:rPr>
              <w:t xml:space="preserve">EXPERIENCE</w:t>
            </w:r>
          </w:p>
        </w:tc>
        <w:tc>
          <w:tcPr>
            <w:tcW w:w="2700" w:type="dxa"/>
            <w:tcMar>
              <w:top w:w="0" w:type="dxa"/>
              <w:left w:w="0" w:type="dxa"/>
              <w:bottom w:w="0" w:type="dxa"/>
              <w:right w:w="180" w:type="dxa"/>
            </w:tcMar>
          </w:tcPr>
          <w:p>
            <w:pPr>
              <w:spacing w:after="30"/>
            </w:pPr>
            <w:r>
              <w:rPr>
                <w:rFonts w:ascii="Arial" w:hAnsi="Arial"/>
                <w:b/>
                <w:color w:val="263B52"/>
                <w:sz w:val="18"/>
              </w:rPr>
              <w:t xml:space="preserve">Frost &amp; Sullivan / LeadLeo</w:t>
            </w:r>
          </w:p>
          <w:p>
            <w:pPr>
              <w:spacing w:after="30"/>
            </w:pPr>
            <w:r>
              <w:rPr>
                <w:rFonts w:ascii="Arial" w:hAnsi="Arial"/>
                <w:color w:val="263B52"/>
                <w:sz w:val="18"/>
              </w:rPr>
              <w:t xml:space="preserve">Consumer Industry Analyst</w:t>
            </w:r>
          </w:p>
          <w:p>
            <w:pPr>
              <w:spacing w:after="50"/>
            </w:pPr>
            <w:r>
              <w:rPr>
                <w:rFonts w:ascii="Arial" w:hAnsi="Arial"/>
                <w:color w:val="8190A0"/>
                <w:sz w:val="19"/>
              </w:rPr>
              <w:t xml:space="preserve">Aug 2024 - Present</w:t>
            </w:r>
          </w:p>
          <w:p>
            <w:pPr>
              <w:spacing w:after="30"/>
            </w:pPr>
            <w:r>
              <w:rPr>
                <w:rFonts w:ascii="Arial" w:hAnsi="Arial"/>
                <w:b/>
                <w:color w:val="263B52"/>
                <w:sz w:val="18"/>
              </w:rPr>
              <w:t xml:space="preserve">Huaxi Securities</w:t>
            </w:r>
          </w:p>
          <w:p>
            <w:pPr>
              <w:spacing w:after="30"/>
            </w:pPr>
            <w:r>
              <w:rPr>
                <w:rFonts w:ascii="Arial" w:hAnsi="Arial"/>
                <w:color w:val="263B52"/>
                <w:sz w:val="18"/>
              </w:rPr>
              <w:t xml:space="preserve">Equity Research Assistant</w:t>
            </w:r>
          </w:p>
          <w:p>
            <w:pPr>
              <w:spacing w:after="50"/>
            </w:pPr>
            <w:r>
              <w:rPr>
                <w:rFonts w:ascii="Arial" w:hAnsi="Arial"/>
                <w:color w:val="8190A0"/>
                <w:sz w:val="19"/>
              </w:rPr>
              <w:t xml:space="preserve">Jul 2023 - Apr 2024</w:t>
            </w:r>
          </w:p>
          <w:p>
            <w:pPr>
              <w:spacing w:after="30"/>
            </w:pPr>
            <w:r>
              <w:rPr>
                <w:rFonts w:ascii="Arial" w:hAnsi="Arial"/>
                <w:b/>
                <w:color w:val="263B52"/>
                <w:sz w:val="18"/>
              </w:rPr>
              <w:t xml:space="preserve">Guotai Haitong Securities</w:t>
            </w:r>
          </w:p>
          <w:p>
            <w:pPr>
              <w:spacing w:after="30"/>
            </w:pPr>
            <w:r>
              <w:rPr>
                <w:rFonts w:ascii="Arial" w:hAnsi="Arial"/>
                <w:color w:val="263B52"/>
                <w:sz w:val="18"/>
              </w:rPr>
              <w:t xml:space="preserve">Strategy Research Assistant</w:t>
            </w:r>
          </w:p>
          <w:p>
            <w:pPr>
              <w:spacing w:after="50"/>
            </w:pPr>
            <w:r>
              <w:rPr>
                <w:rFonts w:ascii="Arial" w:hAnsi="Arial"/>
                <w:color w:val="8190A0"/>
                <w:sz w:val="19"/>
              </w:rPr>
              <w:t xml:space="preserve">Jun 2022 - Sep 2022</w:t>
            </w:r>
          </w:p>
        </w:tc>
        <w:tc>
          <w:tcPr>
            <w:tcW w:w="5950" w:type="dxa"/>
            <w:tcMar>
              <w:top w:w="0" w:type="dxa"/>
              <w:left w:w="0" w:type="dxa"/>
              <w:bottom w:w="0" w:type="dxa"/>
              <w:right w:w="180" w:type="dxa"/>
            </w:tcMar>
          </w:tcPr>
          <w:p>
            <w:pPr>
              <w:spacing w:after="50"/>
            </w:pPr>
            <w:r>
              <w:rPr>
                <w:rFonts w:ascii="Arial" w:hAnsi="Arial"/>
                <w:color w:val="8190A0"/>
                <w:sz w:val="19"/>
              </w:rPr>
              <w:t xml:space="preserve">Produced 21 in-depth reports across F&amp;B, apparel, and new consumption; report pages reached 500+ average daily visits and supported RMB 5M+ commercial revenue.</w:t>
            </w:r>
          </w:p>
          <w:p>
            <w:pPr>
              <w:spacing w:after="50"/>
            </w:pPr>
            <w:r>
              <w:rPr>
                <w:rFonts w:ascii="Arial" w:hAnsi="Arial"/>
                <w:color w:val="8190A0"/>
                <w:sz w:val="19"/>
              </w:rPr>
              <w:t xml:space="preserve">Supported a main-board IPO advisory project for a leading athletic footwear manufacturer through expert interviews, market sizing, value-chain mapping, and competitive analysis.</w:t>
            </w:r>
          </w:p>
          <w:p>
            <w:pPr>
              <w:spacing w:after="50"/>
            </w:pPr>
            <w:r>
              <w:rPr>
                <w:rFonts w:ascii="Arial" w:hAnsi="Arial"/>
                <w:color w:val="8190A0"/>
                <w:sz w:val="19"/>
              </w:rPr>
              <w:t xml:space="preserve">Researched 3C titanium alloy penetration; drafted 8 earnings reviews, one deep dive, and 21 research posts with readership up 40% YoY.</w:t>
            </w:r>
          </w:p>
          <w:p>
            <w:pPr>
              <w:spacing w:after="50"/>
            </w:pPr>
            <w:r>
              <w:rPr>
                <w:rFonts w:ascii="Arial" w:hAnsi="Arial"/>
                <w:color w:val="8190A0"/>
                <w:sz w:val="19"/>
              </w:rPr>
              <w:t xml:space="preserve">Reviewed Hong Kong equity market performance, policy, liquidity, earnings expectations, and cross-asset signals.</w:t>
            </w:r>
          </w:p>
        </w:tc>
      </w:tr>
      <w:tr>
        <w:tc>
          <w:tcPr>
            <w:tcW w:w="1550" w:type="dxa"/>
            <w:tcMar>
              <w:top w:w="0" w:type="dxa"/>
              <w:left w:w="0" w:type="dxa"/>
              <w:bottom w:w="0" w:type="dxa"/>
              <w:right w:w="180" w:type="dxa"/>
            </w:tcMar>
          </w:tcPr>
          <w:p>
            <w:pPr>
              <w:spacing w:after="40"/>
            </w:pPr>
            <w:r>
              <w:rPr>
                <w:rFonts w:ascii="Arial" w:hAnsi="Arial"/>
                <w:b/>
                <w:color w:val="8190A0"/>
                <w:sz w:val="18"/>
              </w:rPr>
              <w:t xml:space="preserve">SELECTED WORK</w:t>
            </w:r>
          </w:p>
        </w:tc>
        <w:tc>
          <w:tcPr>
            <w:tcW w:w="2700" w:type="dxa"/>
            <w:tcMar>
              <w:top w:w="0" w:type="dxa"/>
              <w:left w:w="0" w:type="dxa"/>
              <w:bottom w:w="0" w:type="dxa"/>
              <w:right w:w="180" w:type="dxa"/>
            </w:tcMar>
          </w:tcPr>
          <w:p>
            <w:pPr>
              <w:spacing w:after="30"/>
            </w:pPr>
            <w:r>
              <w:rPr>
                <w:rFonts w:ascii="Arial" w:hAnsi="Arial"/>
                <w:b/>
                <w:color w:val="263B52"/>
                <w:sz w:val="18"/>
              </w:rPr>
              <w:t xml:space="preserve">Research Portfolio</w:t>
            </w:r>
          </w:p>
          <w:p>
            <w:pPr>
              <w:spacing w:after="50"/>
            </w:pPr>
            <w:r>
              <w:rPr>
                <w:rFonts w:ascii="Arial" w:hAnsi="Arial"/>
                <w:color w:val="8190A0"/>
                <w:sz w:val="19"/>
              </w:rPr>
              <w:t xml:space="preserve">18 public / de-identified assets</w:t>
            </w:r>
          </w:p>
          <w:p>
            <w:pPr>
              <w:spacing w:after="30"/>
            </w:pPr>
            <w:r>
              <w:rPr>
                <w:rFonts w:ascii="Arial" w:hAnsi="Arial"/>
                <w:b/>
                <w:color w:val="263B52"/>
                <w:sz w:val="18"/>
              </w:rPr>
              <w:t xml:space="preserve">IPO &amp; Strategy Decks</w:t>
            </w:r>
          </w:p>
          <w:p>
            <w:pPr>
              <w:spacing w:after="50"/>
            </w:pPr>
            <w:r>
              <w:rPr>
                <w:rFonts w:ascii="Arial" w:hAnsi="Arial"/>
                <w:color w:val="8190A0"/>
                <w:sz w:val="19"/>
              </w:rPr>
              <w:t xml:space="preserve">Industry narratives and market proof</w:t>
            </w:r>
          </w:p>
        </w:tc>
        <w:tc>
          <w:tcPr>
            <w:tcW w:w="5950" w:type="dxa"/>
            <w:tcMar>
              <w:top w:w="0" w:type="dxa"/>
              <w:left w:w="0" w:type="dxa"/>
              <w:bottom w:w="0" w:type="dxa"/>
              <w:right w:w="180" w:type="dxa"/>
            </w:tcMar>
          </w:tcPr>
          <w:p>
            <w:pPr>
              <w:spacing w:after="50"/>
            </w:pPr>
            <w:r>
              <w:rPr>
                <w:rFonts w:ascii="Arial" w:hAnsi="Arial"/>
                <w:color w:val="8190A0"/>
                <w:sz w:val="19"/>
              </w:rPr>
              <w:t xml:space="preserve">Built a portfolio library covering coconut, low-temperature yogurt, fresh-ground coffee, baijiu, grilled sausage, running shoes, footwear manufacturing, IP licensing, functional sofa, RWA, DePIN, and global megatrends.</w:t>
            </w:r>
          </w:p>
          <w:p>
            <w:pPr>
              <w:spacing w:after="50"/>
            </w:pPr>
            <w:r>
              <w:rPr>
                <w:rFonts w:ascii="Arial" w:hAnsi="Arial"/>
                <w:color w:val="8190A0"/>
                <w:sz w:val="19"/>
              </w:rPr>
              <w:t xml:space="preserve">Core skills: market sizing, expert interview synthesis, consumer insight, industry mapping, competitive landscape, and strategy deck storytelling.</w:t>
            </w:r>
          </w:p>
        </w:tc>
      </w:tr>
      <w:tr>
        <w:tc>
          <w:tcPr>
            <w:tcW w:w="1550" w:type="dxa"/>
            <w:tcMar>
              <w:top w:w="0" w:type="dxa"/>
              <w:left w:w="0" w:type="dxa"/>
              <w:bottom w:w="0" w:type="dxa"/>
              <w:right w:w="180" w:type="dxa"/>
            </w:tcMar>
          </w:tcPr>
          <w:p>
            <w:pPr>
              <w:spacing w:after="40"/>
            </w:pPr>
            <w:r>
              <w:rPr>
                <w:rFonts w:ascii="Arial" w:hAnsi="Arial"/>
                <w:b/>
                <w:color w:val="8190A0"/>
                <w:sz w:val="18"/>
              </w:rPr>
              <w:t xml:space="preserve">FUN / HABITS</w:t>
            </w:r>
          </w:p>
        </w:tc>
        <w:tc>
          <w:tcPr>
            <w:tcW w:w="2700" w:type="dxa"/>
            <w:tcMar>
              <w:top w:w="0" w:type="dxa"/>
              <w:left w:w="0" w:type="dxa"/>
              <w:bottom w:w="0" w:type="dxa"/>
              <w:right w:w="180" w:type="dxa"/>
            </w:tcMar>
          </w:tcPr>
          <w:p>
            <w:pPr>
              <w:spacing w:after="30"/>
            </w:pPr>
            <w:r>
              <w:rPr>
                <w:rFonts w:ascii="Arial" w:hAnsi="Arial"/>
                <w:b/>
                <w:color w:val="263B52"/>
                <w:sz w:val="18"/>
              </w:rPr>
              <w:t xml:space="preserve">EA Quant Trading</w:t>
            </w:r>
          </w:p>
          <w:p>
            <w:pPr>
              <w:spacing w:after="50"/>
            </w:pPr>
            <w:r>
              <w:rPr>
                <w:rFonts w:ascii="Arial" w:hAnsi="Arial"/>
                <w:color w:val="8190A0"/>
                <w:sz w:val="19"/>
              </w:rPr>
              <w:t xml:space="preserve">Automated trading practice</w:t>
            </w:r>
          </w:p>
          <w:p>
            <w:pPr>
              <w:spacing w:after="30"/>
            </w:pPr>
            <w:r>
              <w:rPr>
                <w:rFonts w:ascii="Arial" w:hAnsi="Arial"/>
                <w:b/>
                <w:color w:val="263B52"/>
                <w:sz w:val="18"/>
              </w:rPr>
              <w:t xml:space="preserve">Prompted Research</w:t>
            </w:r>
          </w:p>
          <w:p>
            <w:pPr>
              <w:spacing w:after="50"/>
            </w:pPr>
            <w:r>
              <w:rPr>
                <w:rFonts w:ascii="Arial" w:hAnsi="Arial"/>
                <w:color w:val="8190A0"/>
                <w:sz w:val="19"/>
              </w:rPr>
              <w:t xml:space="preserve">Codex-assisted workflow</w:t>
            </w:r>
          </w:p>
        </w:tc>
        <w:tc>
          <w:tcPr>
            <w:tcW w:w="5950" w:type="dxa"/>
            <w:tcMar>
              <w:top w:w="0" w:type="dxa"/>
              <w:left w:w="0" w:type="dxa"/>
              <w:bottom w:w="0" w:type="dxa"/>
              <w:right w:w="180" w:type="dxa"/>
            </w:tcMar>
          </w:tcPr>
          <w:p>
            <w:pPr>
              <w:spacing w:after="50"/>
            </w:pPr>
            <w:r>
              <w:rPr>
                <w:rFonts w:ascii="Arial" w:hAnsi="Arial"/>
                <w:color w:val="8190A0"/>
                <w:sz w:val="19"/>
              </w:rPr>
              <w:t xml:space="preserve">Run EA-based automated trading strategies with live monitoring, rule-based execution, and risk-control logic. Use Codex to turn repetitive research SOPs into structured conversations and reusable work habits.</w:t>
            </w:r>
          </w:p>
        </w:tc>
      </w:tr>
      <w:tr>
        <w:tc>
          <w:tcPr>
            <w:tcW w:w="1550" w:type="dxa"/>
            <w:tcMar>
              <w:top w:w="0" w:type="dxa"/>
              <w:left w:w="0" w:type="dxa"/>
              <w:bottom w:w="0" w:type="dxa"/>
              <w:right w:w="180" w:type="dxa"/>
            </w:tcMar>
          </w:tcPr>
          <w:p>
            <w:pPr>
              <w:spacing w:after="40"/>
            </w:pPr>
            <w:r>
              <w:rPr>
                <w:rFonts w:ascii="Arial" w:hAnsi="Arial"/>
                <w:b/>
                <w:color w:val="8190A0"/>
                <w:sz w:val="18"/>
              </w:rPr>
              <w:t xml:space="preserve">EDUCATION</w:t>
            </w:r>
          </w:p>
        </w:tc>
        <w:tc>
          <w:tcPr>
            <w:tcW w:w="2700" w:type="dxa"/>
            <w:tcMar>
              <w:top w:w="0" w:type="dxa"/>
              <w:left w:w="0" w:type="dxa"/>
              <w:bottom w:w="0" w:type="dxa"/>
              <w:right w:w="180" w:type="dxa"/>
            </w:tcMar>
          </w:tcPr>
          <w:p>
            <w:pPr>
              <w:spacing w:after="30"/>
            </w:pPr>
            <w:r>
              <w:rPr>
                <w:rFonts w:ascii="Arial" w:hAnsi="Arial"/>
                <w:b/>
                <w:color w:val="263B52"/>
                <w:sz w:val="18"/>
              </w:rPr>
              <w:t xml:space="preserve">Jinan University</w:t>
            </w:r>
          </w:p>
          <w:p>
            <w:pPr>
              <w:spacing w:after="50"/>
            </w:pPr>
            <w:r>
              <w:rPr>
                <w:rFonts w:ascii="Arial" w:hAnsi="Arial"/>
                <w:color w:val="8190A0"/>
                <w:sz w:val="19"/>
              </w:rPr>
              <w:t xml:space="preserve">M.A. Economics, 2021 - 2024</w:t>
            </w:r>
          </w:p>
          <w:p>
            <w:pPr>
              <w:spacing w:after="30"/>
            </w:pPr>
            <w:r>
              <w:rPr>
                <w:rFonts w:ascii="Arial" w:hAnsi="Arial"/>
                <w:b/>
                <w:color w:val="263B52"/>
                <w:sz w:val="18"/>
              </w:rPr>
              <w:t xml:space="preserve">Hunan Agricultural University</w:t>
            </w:r>
          </w:p>
          <w:p>
            <w:pPr>
              <w:spacing w:after="50"/>
            </w:pPr>
            <w:r>
              <w:rPr>
                <w:rFonts w:ascii="Arial" w:hAnsi="Arial"/>
                <w:color w:val="8190A0"/>
                <w:sz w:val="19"/>
              </w:rPr>
              <w:t xml:space="preserve">B.A. Finance, 2017 - 2021</w:t>
            </w:r>
          </w:p>
        </w:tc>
        <w:tc>
          <w:tcPr>
            <w:tcW w:w="5950" w:type="dxa"/>
            <w:tcMar>
              <w:top w:w="0" w:type="dxa"/>
              <w:left w:w="0" w:type="dxa"/>
              <w:bottom w:w="0" w:type="dxa"/>
              <w:right w:w="180" w:type="dxa"/>
            </w:tcMar>
          </w:tcPr>
          <w:p>
            <w:pPr>
              <w:spacing w:after="50"/>
            </w:pPr>
            <w:r>
              <w:rPr>
                <w:rFonts w:ascii="Arial" w:hAnsi="Arial"/>
                <w:color w:val="8190A0"/>
                <w:sz w:val="19"/>
              </w:rPr>
              <w:t xml:space="preserve">GPA 3.7 / 4.0. Published a CSSCI-indexed paper on regional market integration and manufacturing competitiveness using geographic regression discontinuity evidence.</w:t>
            </w:r>
          </w:p>
          <w:p>
            <w:pPr>
              <w:spacing w:after="50"/>
            </w:pPr>
            <w:r>
              <w:rPr>
                <w:rFonts w:ascii="Arial" w:hAnsi="Arial"/>
                <w:color w:val="8190A0"/>
                <w:sz w:val="19"/>
              </w:rPr>
              <w:t xml:space="preserve">GPA 3.8 / 4.0. Awards include National Encouragement Scholarship, Outstanding Student Leader, Merit Student Model, and National English Competition Third Prize.</w:t>
            </w:r>
          </w:p>
        </w:tc>
      </w:tr>
    </w:tbl>
    <w:sectPr>
      <w:pgSz w:w="12240" w:h="15840"/>
      <w:pgMar w:top="520" w:right="520" w:bottom="520" w:left="520" w:header="520" w:footer="520" w:gutter="0"/>
    </w:sectPr>
  </w:body>
</w:document>
</file>